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B0" w:rsidRDefault="007753B0" w:rsidP="007753B0">
      <w:pPr>
        <w:spacing w:line="560" w:lineRule="exact"/>
        <w:rPr>
          <w:rFonts w:eastAsia="方正小标宋简体"/>
          <w:bCs/>
          <w:color w:val="000000"/>
          <w:sz w:val="36"/>
          <w:szCs w:val="36"/>
        </w:rPr>
      </w:pPr>
      <w:r>
        <w:rPr>
          <w:rFonts w:eastAsia="黑体"/>
          <w:bCs/>
          <w:color w:val="000000"/>
          <w:sz w:val="32"/>
          <w:szCs w:val="32"/>
        </w:rPr>
        <w:t>附件</w:t>
      </w:r>
      <w:r>
        <w:rPr>
          <w:rFonts w:eastAsia="黑体"/>
          <w:bCs/>
          <w:color w:val="000000"/>
          <w:sz w:val="32"/>
          <w:szCs w:val="32"/>
        </w:rPr>
        <w:t xml:space="preserve">3  </w:t>
      </w:r>
      <w:r>
        <w:rPr>
          <w:rFonts w:eastAsia="仿宋_GB2312" w:hint="eastAsia"/>
          <w:bCs/>
          <w:color w:val="000000"/>
          <w:sz w:val="32"/>
          <w:szCs w:val="32"/>
        </w:rPr>
        <w:t xml:space="preserve">          </w:t>
      </w:r>
      <w:r>
        <w:rPr>
          <w:rFonts w:eastAsia="方正小标宋简体" w:hint="eastAsia"/>
          <w:bCs/>
          <w:color w:val="000000"/>
          <w:sz w:val="36"/>
          <w:szCs w:val="36"/>
        </w:rPr>
        <w:t>2018</w:t>
      </w:r>
      <w:r>
        <w:rPr>
          <w:rFonts w:eastAsia="方正小标宋简体" w:hint="eastAsia"/>
          <w:bCs/>
          <w:color w:val="000000"/>
          <w:sz w:val="36"/>
          <w:szCs w:val="36"/>
        </w:rPr>
        <w:t>年度网络学习空间应用普及优秀区域评价指标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11340"/>
      </w:tblGrid>
      <w:tr w:rsidR="007753B0" w:rsidTr="001E1393">
        <w:tc>
          <w:tcPr>
            <w:tcW w:w="1101" w:type="dxa"/>
          </w:tcPr>
          <w:p w:rsidR="007753B0" w:rsidRDefault="007753B0" w:rsidP="001E1393">
            <w:pPr>
              <w:spacing w:line="560" w:lineRule="exact"/>
              <w:jc w:val="center"/>
              <w:rPr>
                <w:rFonts w:ascii="仿宋_GB2312" w:eastAsia="仿宋_GB2312" w:hint="eastAsia"/>
                <w:b/>
                <w:bCs/>
                <w:color w:val="000000"/>
                <w:szCs w:val="21"/>
              </w:rPr>
            </w:pPr>
            <w:r>
              <w:rPr>
                <w:rFonts w:ascii="仿宋_GB2312" w:eastAsia="仿宋_GB2312" w:hint="eastAsia"/>
                <w:b/>
                <w:bCs/>
                <w:color w:val="000000"/>
                <w:szCs w:val="21"/>
              </w:rPr>
              <w:t>一级指标</w:t>
            </w:r>
          </w:p>
        </w:tc>
        <w:tc>
          <w:tcPr>
            <w:tcW w:w="1842" w:type="dxa"/>
          </w:tcPr>
          <w:p w:rsidR="007753B0" w:rsidRDefault="007753B0" w:rsidP="001E1393">
            <w:pPr>
              <w:spacing w:line="560" w:lineRule="exact"/>
              <w:jc w:val="center"/>
              <w:rPr>
                <w:rFonts w:ascii="仿宋_GB2312" w:eastAsia="仿宋_GB2312" w:hint="eastAsia"/>
                <w:b/>
                <w:bCs/>
                <w:color w:val="000000"/>
                <w:szCs w:val="21"/>
              </w:rPr>
            </w:pPr>
            <w:r>
              <w:rPr>
                <w:rFonts w:ascii="仿宋_GB2312" w:eastAsia="仿宋_GB2312" w:hint="eastAsia"/>
                <w:b/>
                <w:bCs/>
                <w:color w:val="000000"/>
                <w:szCs w:val="21"/>
              </w:rPr>
              <w:t>二级指标</w:t>
            </w:r>
          </w:p>
        </w:tc>
        <w:tc>
          <w:tcPr>
            <w:tcW w:w="11340" w:type="dxa"/>
          </w:tcPr>
          <w:p w:rsidR="007753B0" w:rsidRDefault="007753B0" w:rsidP="001E1393">
            <w:pPr>
              <w:spacing w:line="560" w:lineRule="exact"/>
              <w:jc w:val="center"/>
              <w:rPr>
                <w:rFonts w:ascii="仿宋_GB2312" w:eastAsia="仿宋_GB2312" w:hint="eastAsia"/>
                <w:b/>
                <w:bCs/>
                <w:color w:val="000000"/>
                <w:szCs w:val="21"/>
              </w:rPr>
            </w:pPr>
            <w:r>
              <w:rPr>
                <w:rFonts w:ascii="仿宋_GB2312" w:eastAsia="仿宋_GB2312" w:hint="eastAsia"/>
                <w:b/>
                <w:bCs/>
                <w:color w:val="000000"/>
                <w:szCs w:val="21"/>
              </w:rPr>
              <w:t>指标描述</w:t>
            </w:r>
          </w:p>
        </w:tc>
      </w:tr>
      <w:tr w:rsidR="007753B0" w:rsidTr="001E1393">
        <w:tc>
          <w:tcPr>
            <w:tcW w:w="1101" w:type="dxa"/>
            <w:vMerge w:val="restart"/>
            <w:vAlign w:val="center"/>
          </w:tcPr>
          <w:p w:rsidR="007753B0" w:rsidRDefault="007753B0" w:rsidP="001E1393">
            <w:pPr>
              <w:spacing w:line="560" w:lineRule="exact"/>
              <w:jc w:val="center"/>
              <w:rPr>
                <w:rFonts w:ascii="仿宋_GB2312" w:eastAsia="仿宋_GB2312"/>
                <w:bCs/>
                <w:color w:val="000000"/>
                <w:szCs w:val="21"/>
              </w:rPr>
            </w:pPr>
            <w:r>
              <w:rPr>
                <w:rFonts w:ascii="仿宋_GB2312" w:eastAsia="仿宋_GB2312" w:hint="eastAsia"/>
                <w:bCs/>
                <w:color w:val="000000"/>
                <w:szCs w:val="21"/>
              </w:rPr>
              <w:t>空间建设</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（20分）</w:t>
            </w:r>
          </w:p>
        </w:tc>
        <w:tc>
          <w:tcPr>
            <w:tcW w:w="1842" w:type="dxa"/>
            <w:vAlign w:val="center"/>
          </w:tcPr>
          <w:p w:rsidR="007753B0" w:rsidRDefault="007753B0" w:rsidP="001E1393">
            <w:pPr>
              <w:jc w:val="center"/>
              <w:rPr>
                <w:rFonts w:ascii="仿宋_GB2312" w:eastAsia="仿宋_GB2312"/>
                <w:bCs/>
                <w:color w:val="000000"/>
                <w:szCs w:val="21"/>
              </w:rPr>
            </w:pPr>
            <w:r>
              <w:rPr>
                <w:rFonts w:ascii="仿宋_GB2312" w:eastAsia="仿宋_GB2312" w:hint="eastAsia"/>
                <w:bCs/>
                <w:color w:val="000000"/>
                <w:szCs w:val="21"/>
              </w:rPr>
              <w:t>机制保障</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规划设计“网络学习空间人人通”区域方案；建立管理职能部门、业务推进部门、技术保障部门协同推进机制；有效的经费投入机制与空间软硬件建设机制；具有组织推进的激励、评价、督促机制；具有促进网络学习空间应用的队伍建设机制</w:t>
            </w:r>
          </w:p>
        </w:tc>
      </w:tr>
      <w:tr w:rsidR="007753B0" w:rsidTr="001E1393">
        <w:tc>
          <w:tcPr>
            <w:tcW w:w="1101" w:type="dxa"/>
            <w:vMerge/>
          </w:tcPr>
          <w:p w:rsidR="007753B0" w:rsidRDefault="007753B0" w:rsidP="001E1393">
            <w:pPr>
              <w:spacing w:line="560" w:lineRule="exact"/>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bCs/>
                <w:color w:val="000000"/>
                <w:szCs w:val="21"/>
              </w:rPr>
            </w:pPr>
            <w:r>
              <w:rPr>
                <w:rFonts w:ascii="仿宋_GB2312" w:eastAsia="仿宋_GB2312" w:hint="eastAsia"/>
                <w:bCs/>
                <w:color w:val="000000"/>
                <w:szCs w:val="21"/>
              </w:rPr>
              <w:t>功能构成</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由地市或区县教育行政部门认定网络学习空间，其功能基本满足并支撑区域和学校主要的教育教学工作；构成上包含教师、学生、家长等个人空间，区域、学校、班级等机构空间；集成资源共享、教学支持、学习交互、决策评估等满足日常教育教学需要的多种公共应用服务；集成大数据分析服务，可提供教学分析、学习分析、学生能力发展分析、学生综合素质评价、用户的空间应用分析等服务</w:t>
            </w:r>
          </w:p>
        </w:tc>
      </w:tr>
      <w:tr w:rsidR="007753B0" w:rsidTr="001E1393">
        <w:tc>
          <w:tcPr>
            <w:tcW w:w="1101" w:type="dxa"/>
            <w:vMerge/>
          </w:tcPr>
          <w:p w:rsidR="007753B0" w:rsidRDefault="007753B0" w:rsidP="001E1393">
            <w:pPr>
              <w:spacing w:line="560" w:lineRule="exact"/>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bCs/>
                <w:color w:val="000000"/>
                <w:szCs w:val="21"/>
              </w:rPr>
            </w:pPr>
            <w:r>
              <w:rPr>
                <w:rFonts w:ascii="仿宋_GB2312" w:eastAsia="仿宋_GB2312" w:hint="eastAsia"/>
                <w:bCs/>
                <w:color w:val="000000"/>
                <w:szCs w:val="21"/>
              </w:rPr>
              <w:t>管理维护</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网络安全制度完善，举措基本落实，网络安全意识和防护能力较好；遵循数据上移、服务下沉原则；网络空间运行高效，访问快捷，体验良好</w:t>
            </w:r>
          </w:p>
        </w:tc>
      </w:tr>
      <w:tr w:rsidR="007753B0" w:rsidTr="001E1393">
        <w:tc>
          <w:tcPr>
            <w:tcW w:w="1101" w:type="dxa"/>
            <w:vMerge/>
          </w:tcPr>
          <w:p w:rsidR="007753B0" w:rsidRDefault="007753B0" w:rsidP="001E1393">
            <w:pPr>
              <w:spacing w:line="560" w:lineRule="exact"/>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建设普及率</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区域内所有学校开通机构空间，学校所有教师和适龄学生开通个人空间；班级空间开通不低于8</w:t>
            </w:r>
            <w:r>
              <w:rPr>
                <w:rFonts w:ascii="仿宋_GB2312" w:eastAsia="仿宋_GB2312"/>
                <w:bCs/>
                <w:color w:val="000000"/>
                <w:szCs w:val="21"/>
              </w:rPr>
              <w:t>0%</w:t>
            </w:r>
            <w:r>
              <w:rPr>
                <w:rFonts w:ascii="仿宋_GB2312" w:eastAsia="仿宋_GB2312" w:hint="eastAsia"/>
                <w:bCs/>
                <w:color w:val="000000"/>
                <w:szCs w:val="21"/>
              </w:rPr>
              <w:t>；具有区域教研、名师、社团等特色空间。基本实现“一人</w:t>
            </w:r>
            <w:proofErr w:type="gramStart"/>
            <w:r>
              <w:rPr>
                <w:rFonts w:ascii="仿宋_GB2312" w:eastAsia="仿宋_GB2312" w:hint="eastAsia"/>
                <w:bCs/>
                <w:color w:val="000000"/>
                <w:szCs w:val="21"/>
              </w:rPr>
              <w:t>一</w:t>
            </w:r>
            <w:proofErr w:type="gramEnd"/>
            <w:r>
              <w:rPr>
                <w:rFonts w:ascii="仿宋_GB2312" w:eastAsia="仿宋_GB2312" w:hint="eastAsia"/>
                <w:bCs/>
                <w:color w:val="000000"/>
                <w:szCs w:val="21"/>
              </w:rPr>
              <w:t>空间”，多平台孤岛现象得到显著缓解</w:t>
            </w:r>
          </w:p>
        </w:tc>
      </w:tr>
      <w:tr w:rsidR="007753B0" w:rsidTr="001E1393">
        <w:trPr>
          <w:trHeight w:val="416"/>
        </w:trPr>
        <w:tc>
          <w:tcPr>
            <w:tcW w:w="1101" w:type="dxa"/>
            <w:vMerge w:val="restart"/>
            <w:vAlign w:val="center"/>
          </w:tcPr>
          <w:p w:rsidR="007753B0" w:rsidRDefault="007753B0" w:rsidP="001E1393">
            <w:pPr>
              <w:jc w:val="center"/>
              <w:rPr>
                <w:rFonts w:ascii="仿宋_GB2312" w:eastAsia="仿宋_GB2312"/>
                <w:bCs/>
                <w:color w:val="000000"/>
                <w:szCs w:val="21"/>
              </w:rPr>
            </w:pPr>
            <w:r>
              <w:rPr>
                <w:rFonts w:ascii="仿宋_GB2312" w:eastAsia="仿宋_GB2312" w:hint="eastAsia"/>
                <w:bCs/>
                <w:color w:val="000000"/>
                <w:szCs w:val="21"/>
              </w:rPr>
              <w:t>空间应用</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w:t>
            </w:r>
            <w:r>
              <w:rPr>
                <w:rFonts w:ascii="仿宋_GB2312" w:eastAsia="仿宋_GB2312"/>
                <w:bCs/>
                <w:color w:val="000000"/>
                <w:szCs w:val="21"/>
              </w:rPr>
              <w:t>0</w:t>
            </w:r>
            <w:r>
              <w:rPr>
                <w:rFonts w:ascii="仿宋_GB2312" w:eastAsia="仿宋_GB2312" w:hint="eastAsia"/>
                <w:bCs/>
                <w:color w:val="000000"/>
                <w:szCs w:val="21"/>
              </w:rPr>
              <w:t>分）</w:t>
            </w:r>
          </w:p>
        </w:tc>
        <w:tc>
          <w:tcPr>
            <w:tcW w:w="1842" w:type="dxa"/>
            <w:vAlign w:val="center"/>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资源共享（10分）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实现多渠道资源供给，社会资源、智力资源网络化供给；用户能通过空间获取所需要的教育资源，进行资源分类、评价、分享，实现资源分享、教学应用等</w:t>
            </w:r>
          </w:p>
        </w:tc>
      </w:tr>
      <w:tr w:rsidR="007753B0" w:rsidTr="001E1393">
        <w:trPr>
          <w:trHeight w:val="416"/>
        </w:trPr>
        <w:tc>
          <w:tcPr>
            <w:tcW w:w="1101" w:type="dxa"/>
            <w:vMerge/>
            <w:vAlign w:val="center"/>
          </w:tcPr>
          <w:p w:rsidR="007753B0" w:rsidRDefault="007753B0" w:rsidP="001E1393">
            <w:pPr>
              <w:jc w:val="center"/>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教学支持（10分）</w:t>
            </w:r>
          </w:p>
        </w:tc>
        <w:tc>
          <w:tcPr>
            <w:tcW w:w="11340" w:type="dxa"/>
            <w:vAlign w:val="center"/>
          </w:tcPr>
          <w:p w:rsidR="007753B0" w:rsidRDefault="007753B0" w:rsidP="001E1393">
            <w:pPr>
              <w:jc w:val="left"/>
              <w:rPr>
                <w:rFonts w:ascii="仿宋_GB2312" w:eastAsia="仿宋_GB2312" w:hint="eastAsia"/>
                <w:bCs/>
                <w:color w:val="000000"/>
                <w:szCs w:val="21"/>
              </w:rPr>
            </w:pPr>
            <w:r>
              <w:rPr>
                <w:rFonts w:ascii="仿宋_GB2312" w:eastAsia="仿宋_GB2312" w:hint="eastAsia"/>
                <w:bCs/>
                <w:color w:val="000000"/>
                <w:szCs w:val="21"/>
              </w:rPr>
              <w:t>每年有至少2个区域性的常态化教育教学活动通过空间支撑线上线下开展。教师利用空间支持备授课、活动组织实施、线上线下教学、班级管理、</w:t>
            </w:r>
            <w:r>
              <w:rPr>
                <w:rFonts w:ascii="仿宋_GB2312" w:eastAsia="仿宋_GB2312"/>
                <w:bCs/>
                <w:color w:val="000000"/>
                <w:szCs w:val="21"/>
              </w:rPr>
              <w:t>预习、作业、答疑、自主学习</w:t>
            </w:r>
            <w:r>
              <w:rPr>
                <w:rFonts w:ascii="仿宋_GB2312" w:eastAsia="仿宋_GB2312" w:hint="eastAsia"/>
                <w:bCs/>
                <w:color w:val="000000"/>
                <w:szCs w:val="21"/>
              </w:rPr>
              <w:t>、</w:t>
            </w:r>
            <w:r>
              <w:rPr>
                <w:rFonts w:ascii="仿宋_GB2312" w:eastAsia="仿宋_GB2312"/>
                <w:bCs/>
                <w:color w:val="000000"/>
                <w:szCs w:val="21"/>
              </w:rPr>
              <w:t>分享心得或参与其他活动</w:t>
            </w:r>
            <w:r>
              <w:rPr>
                <w:rFonts w:ascii="仿宋_GB2312" w:eastAsia="仿宋_GB2312" w:hint="eastAsia"/>
                <w:bCs/>
                <w:color w:val="000000"/>
                <w:szCs w:val="21"/>
              </w:rPr>
              <w:t>等</w:t>
            </w:r>
          </w:p>
        </w:tc>
      </w:tr>
      <w:tr w:rsidR="007753B0" w:rsidTr="001E1393">
        <w:trPr>
          <w:trHeight w:val="416"/>
        </w:trPr>
        <w:tc>
          <w:tcPr>
            <w:tcW w:w="1101" w:type="dxa"/>
            <w:vMerge/>
            <w:vAlign w:val="center"/>
          </w:tcPr>
          <w:p w:rsidR="007753B0" w:rsidRDefault="007753B0" w:rsidP="001E1393">
            <w:pPr>
              <w:jc w:val="center"/>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学习交互（10分）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网络化泛在学习普及；支持</w:t>
            </w:r>
            <w:r>
              <w:rPr>
                <w:rFonts w:ascii="仿宋_GB2312" w:eastAsia="仿宋_GB2312"/>
                <w:bCs/>
                <w:color w:val="000000"/>
                <w:szCs w:val="21"/>
              </w:rPr>
              <w:t>师生、师师、生生交互，促进交流共享</w:t>
            </w:r>
          </w:p>
        </w:tc>
      </w:tr>
      <w:tr w:rsidR="007753B0" w:rsidTr="001E1393">
        <w:trPr>
          <w:trHeight w:val="416"/>
        </w:trPr>
        <w:tc>
          <w:tcPr>
            <w:tcW w:w="1101" w:type="dxa"/>
            <w:vMerge/>
            <w:vAlign w:val="center"/>
          </w:tcPr>
          <w:p w:rsidR="007753B0" w:rsidRDefault="007753B0" w:rsidP="001E1393">
            <w:pPr>
              <w:jc w:val="center"/>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决策评估（10分）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区域和学校管理者利用空间管理教育教学及教研等工作，支持电子政务，查询学校办学、文化、德育、课程、教学、设施、师生等情况；家长利用空间支持学校、班级、学生等</w:t>
            </w:r>
            <w:proofErr w:type="gramStart"/>
            <w:r>
              <w:rPr>
                <w:rFonts w:ascii="仿宋_GB2312" w:eastAsia="仿宋_GB2312" w:hint="eastAsia"/>
                <w:bCs/>
                <w:color w:val="000000"/>
                <w:szCs w:val="21"/>
              </w:rPr>
              <w:t>校情学情</w:t>
            </w:r>
            <w:proofErr w:type="gramEnd"/>
            <w:r>
              <w:rPr>
                <w:rFonts w:ascii="仿宋_GB2312" w:eastAsia="仿宋_GB2312" w:hint="eastAsia"/>
                <w:bCs/>
                <w:color w:val="000000"/>
                <w:szCs w:val="21"/>
              </w:rPr>
              <w:t>查询，</w:t>
            </w:r>
            <w:proofErr w:type="gramStart"/>
            <w:r>
              <w:rPr>
                <w:rFonts w:ascii="仿宋_GB2312" w:eastAsia="仿宋_GB2312" w:hint="eastAsia"/>
                <w:bCs/>
                <w:color w:val="000000"/>
                <w:szCs w:val="21"/>
              </w:rPr>
              <w:t>开展家</w:t>
            </w:r>
            <w:proofErr w:type="gramEnd"/>
            <w:r>
              <w:rPr>
                <w:rFonts w:ascii="仿宋_GB2312" w:eastAsia="仿宋_GB2312" w:hint="eastAsia"/>
                <w:bCs/>
                <w:color w:val="000000"/>
                <w:szCs w:val="21"/>
              </w:rPr>
              <w:t>校互动</w:t>
            </w:r>
          </w:p>
        </w:tc>
      </w:tr>
      <w:tr w:rsidR="007753B0" w:rsidTr="001E1393">
        <w:trPr>
          <w:trHeight w:val="416"/>
        </w:trPr>
        <w:tc>
          <w:tcPr>
            <w:tcW w:w="1101" w:type="dxa"/>
            <w:vMerge/>
            <w:vAlign w:val="center"/>
          </w:tcPr>
          <w:p w:rsidR="007753B0" w:rsidRDefault="007753B0" w:rsidP="001E1393">
            <w:pPr>
              <w:jc w:val="center"/>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数据分析（10分）</w:t>
            </w:r>
          </w:p>
        </w:tc>
        <w:tc>
          <w:tcPr>
            <w:tcW w:w="11340" w:type="dxa"/>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实现分层智能测评与诊断；实现精准教学，个性化推送与辅导；实现学生综合素质评价；大数据在教育管理、科学决策、学生能力与身心发展诊断分析等一个或几个方面有成熟应用案例</w:t>
            </w:r>
          </w:p>
        </w:tc>
      </w:tr>
      <w:tr w:rsidR="007753B0" w:rsidTr="001E1393">
        <w:trPr>
          <w:trHeight w:val="270"/>
        </w:trPr>
        <w:tc>
          <w:tcPr>
            <w:tcW w:w="1101" w:type="dxa"/>
            <w:vMerge w:val="restart"/>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社会影响及效果</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（25分）</w:t>
            </w: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相关认可（1</w:t>
            </w:r>
            <w:r>
              <w:rPr>
                <w:rFonts w:ascii="仿宋_GB2312" w:eastAsia="仿宋_GB2312"/>
                <w:bCs/>
                <w:color w:val="000000"/>
                <w:szCs w:val="21"/>
              </w:rPr>
              <w:t>0</w:t>
            </w:r>
            <w:r>
              <w:rPr>
                <w:rFonts w:ascii="仿宋_GB2312" w:eastAsia="仿宋_GB2312" w:hint="eastAsia"/>
                <w:bCs/>
                <w:color w:val="000000"/>
                <w:szCs w:val="21"/>
              </w:rPr>
              <w:t>分）</w:t>
            </w:r>
          </w:p>
        </w:tc>
        <w:tc>
          <w:tcPr>
            <w:tcW w:w="11340" w:type="dxa"/>
            <w:vAlign w:val="center"/>
          </w:tcPr>
          <w:p w:rsidR="007753B0" w:rsidRDefault="007753B0" w:rsidP="001E1393">
            <w:pPr>
              <w:rPr>
                <w:rFonts w:ascii="微软雅黑" w:eastAsia="微软雅黑" w:hAnsi="微软雅黑" w:cs="微软雅黑" w:hint="eastAsia"/>
                <w:bCs/>
                <w:color w:val="000000"/>
                <w:szCs w:val="21"/>
              </w:rPr>
            </w:pPr>
            <w:r>
              <w:rPr>
                <w:rFonts w:ascii="仿宋_GB2312" w:eastAsia="仿宋_GB2312" w:hint="eastAsia"/>
                <w:bCs/>
                <w:color w:val="000000"/>
                <w:szCs w:val="21"/>
              </w:rPr>
              <w:t>纳入省级或国家级教育信息化特别是网络学习空间建设与应用有关专项，成效显著，获得认可（按项目列出）</w:t>
            </w:r>
          </w:p>
        </w:tc>
      </w:tr>
      <w:tr w:rsidR="007753B0" w:rsidTr="001E1393">
        <w:trPr>
          <w:trHeight w:val="345"/>
        </w:trPr>
        <w:tc>
          <w:tcPr>
            <w:tcW w:w="1101" w:type="dxa"/>
            <w:vMerge/>
          </w:tcPr>
          <w:p w:rsidR="007753B0" w:rsidRDefault="007753B0" w:rsidP="001E1393">
            <w:pPr>
              <w:jc w:val="center"/>
              <w:rPr>
                <w:rFonts w:ascii="仿宋_GB2312" w:eastAsia="仿宋_GB2312" w:hint="eastAsia"/>
                <w:bCs/>
                <w:color w:val="000000"/>
                <w:szCs w:val="21"/>
              </w:rPr>
            </w:pPr>
          </w:p>
        </w:tc>
        <w:tc>
          <w:tcPr>
            <w:tcW w:w="1842" w:type="dxa"/>
            <w:vAlign w:val="center"/>
          </w:tcPr>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使用效果（15分）</w:t>
            </w:r>
          </w:p>
        </w:tc>
        <w:tc>
          <w:tcPr>
            <w:tcW w:w="11340" w:type="dxa"/>
            <w:vAlign w:val="center"/>
          </w:tcPr>
          <w:p w:rsidR="007753B0" w:rsidRDefault="007753B0" w:rsidP="001E1393">
            <w:pPr>
              <w:rPr>
                <w:rFonts w:ascii="仿宋_GB2312" w:eastAsia="仿宋_GB2312" w:hint="eastAsia"/>
                <w:bCs/>
                <w:color w:val="000000"/>
                <w:szCs w:val="21"/>
              </w:rPr>
            </w:pPr>
            <w:r>
              <w:rPr>
                <w:rFonts w:eastAsia="仿宋_GB2312"/>
                <w:bCs/>
                <w:color w:val="000000"/>
                <w:szCs w:val="21"/>
              </w:rPr>
              <w:t>“</w:t>
            </w:r>
            <w:r>
              <w:rPr>
                <w:rFonts w:eastAsia="仿宋_GB2312"/>
                <w:bCs/>
                <w:color w:val="000000"/>
                <w:szCs w:val="21"/>
              </w:rPr>
              <w:t>人人通</w:t>
            </w:r>
            <w:r>
              <w:rPr>
                <w:rFonts w:eastAsia="仿宋_GB2312"/>
                <w:bCs/>
                <w:color w:val="000000"/>
                <w:szCs w:val="21"/>
              </w:rPr>
              <w:t>”</w:t>
            </w:r>
            <w:r>
              <w:rPr>
                <w:rFonts w:eastAsia="仿宋_GB2312"/>
                <w:bCs/>
                <w:color w:val="000000"/>
                <w:szCs w:val="21"/>
              </w:rPr>
              <w:t>平台运行稳定，各类空</w:t>
            </w:r>
            <w:proofErr w:type="gramStart"/>
            <w:r>
              <w:rPr>
                <w:rFonts w:eastAsia="仿宋_GB2312"/>
                <w:bCs/>
                <w:color w:val="000000"/>
                <w:szCs w:val="21"/>
              </w:rPr>
              <w:t>间应用</w:t>
            </w:r>
            <w:proofErr w:type="gramEnd"/>
            <w:r>
              <w:rPr>
                <w:rFonts w:eastAsia="仿宋_GB2312"/>
                <w:bCs/>
                <w:color w:val="000000"/>
                <w:szCs w:val="21"/>
              </w:rPr>
              <w:t>常态化，</w:t>
            </w:r>
            <w:r>
              <w:rPr>
                <w:rFonts w:ascii="仿宋_GB2312" w:eastAsia="仿宋_GB2312" w:hint="eastAsia"/>
                <w:bCs/>
                <w:color w:val="000000"/>
                <w:szCs w:val="21"/>
              </w:rPr>
              <w:t>满足学校、教师、学生教育教学和管理等各方面需求，家校沟通效果好</w:t>
            </w:r>
          </w:p>
        </w:tc>
      </w:tr>
      <w:tr w:rsidR="007753B0" w:rsidTr="001E1393">
        <w:tc>
          <w:tcPr>
            <w:tcW w:w="1101" w:type="dxa"/>
          </w:tcPr>
          <w:p w:rsidR="007753B0" w:rsidRDefault="007753B0" w:rsidP="001E1393">
            <w:pPr>
              <w:jc w:val="center"/>
              <w:rPr>
                <w:rFonts w:ascii="仿宋_GB2312" w:eastAsia="仿宋_GB2312"/>
                <w:bCs/>
                <w:color w:val="000000"/>
                <w:szCs w:val="21"/>
              </w:rPr>
            </w:pPr>
            <w:r>
              <w:rPr>
                <w:rFonts w:ascii="仿宋_GB2312" w:eastAsia="仿宋_GB2312" w:hint="eastAsia"/>
                <w:bCs/>
                <w:color w:val="000000"/>
                <w:szCs w:val="21"/>
              </w:rPr>
              <w:lastRenderedPageBreak/>
              <w:t>材料规范</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（5分）</w:t>
            </w:r>
          </w:p>
        </w:tc>
        <w:tc>
          <w:tcPr>
            <w:tcW w:w="1842" w:type="dxa"/>
            <w:vAlign w:val="center"/>
          </w:tcPr>
          <w:p w:rsidR="007753B0" w:rsidRDefault="007753B0" w:rsidP="001E1393">
            <w:pPr>
              <w:jc w:val="center"/>
              <w:rPr>
                <w:rFonts w:ascii="仿宋_GB2312" w:eastAsia="仿宋_GB2312"/>
                <w:bCs/>
                <w:color w:val="000000"/>
                <w:szCs w:val="21"/>
              </w:rPr>
            </w:pPr>
            <w:r>
              <w:rPr>
                <w:rFonts w:ascii="仿宋_GB2312" w:eastAsia="仿宋_GB2312" w:hint="eastAsia"/>
                <w:bCs/>
                <w:color w:val="000000"/>
                <w:szCs w:val="21"/>
              </w:rPr>
              <w:t>务实规范</w:t>
            </w:r>
          </w:p>
          <w:p w:rsidR="007753B0" w:rsidRDefault="007753B0" w:rsidP="001E1393">
            <w:pPr>
              <w:jc w:val="center"/>
              <w:rPr>
                <w:rFonts w:ascii="仿宋_GB2312" w:eastAsia="仿宋_GB2312" w:hint="eastAsia"/>
                <w:bCs/>
                <w:color w:val="000000"/>
                <w:szCs w:val="21"/>
              </w:rPr>
            </w:pPr>
            <w:r>
              <w:rPr>
                <w:rFonts w:ascii="仿宋_GB2312" w:eastAsia="仿宋_GB2312" w:hint="eastAsia"/>
                <w:bCs/>
                <w:color w:val="000000"/>
                <w:szCs w:val="21"/>
              </w:rPr>
              <w:t>（5分）</w:t>
            </w:r>
          </w:p>
        </w:tc>
        <w:tc>
          <w:tcPr>
            <w:tcW w:w="11340" w:type="dxa"/>
            <w:vAlign w:val="center"/>
          </w:tcPr>
          <w:p w:rsidR="007753B0" w:rsidRDefault="007753B0" w:rsidP="001E1393">
            <w:pPr>
              <w:rPr>
                <w:rFonts w:ascii="仿宋_GB2312" w:eastAsia="仿宋_GB2312" w:hint="eastAsia"/>
                <w:bCs/>
                <w:color w:val="000000"/>
                <w:szCs w:val="21"/>
              </w:rPr>
            </w:pPr>
            <w:r>
              <w:rPr>
                <w:rFonts w:ascii="仿宋_GB2312" w:eastAsia="仿宋_GB2312" w:hint="eastAsia"/>
                <w:bCs/>
                <w:color w:val="000000"/>
                <w:szCs w:val="21"/>
              </w:rPr>
              <w:t>材料内容真实、规范、完整；逻辑清晰、主题突出、可读性高；相关支撑材料全面，形式丰富，质量高，示范性强</w:t>
            </w:r>
          </w:p>
        </w:tc>
      </w:tr>
    </w:tbl>
    <w:p w:rsidR="006F53FC" w:rsidRPr="007753B0" w:rsidRDefault="006F53FC">
      <w:bookmarkStart w:id="0" w:name="_GoBack"/>
      <w:bookmarkEnd w:id="0"/>
    </w:p>
    <w:sectPr w:rsidR="006F53FC" w:rsidRPr="007753B0" w:rsidSect="007753B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B0"/>
    <w:rsid w:val="006F53FC"/>
    <w:rsid w:val="0077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CHINA</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2018-10-18T06:48:00Z</dcterms:created>
  <dcterms:modified xsi:type="dcterms:W3CDTF">2018-10-18T06:48:00Z</dcterms:modified>
</cp:coreProperties>
</file>